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1527</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5D53F2" w:rsidRPr="005D53F2" w:rsidRDefault="00E6179D">
          <w:pPr>
            <w:pStyle w:val="TDC1"/>
            <w:rPr>
              <w:rFonts w:asciiTheme="minorHAnsi" w:eastAsiaTheme="minorEastAsia" w:hAnsiTheme="minorHAnsi"/>
              <w:b w:val="0"/>
              <w:sz w:val="24"/>
              <w:szCs w:val="24"/>
              <w:lang w:eastAsia="es-MX"/>
            </w:rPr>
          </w:pPr>
          <w:r w:rsidRPr="005D53F2">
            <w:rPr>
              <w:sz w:val="24"/>
              <w:szCs w:val="24"/>
            </w:rPr>
            <w:fldChar w:fldCharType="begin"/>
          </w:r>
          <w:r w:rsidRPr="005D53F2">
            <w:rPr>
              <w:sz w:val="24"/>
              <w:szCs w:val="24"/>
            </w:rPr>
            <w:instrText xml:space="preserve"> TOC \o "1-3" \h \z \u </w:instrText>
          </w:r>
          <w:r w:rsidRPr="005D53F2">
            <w:rPr>
              <w:sz w:val="24"/>
              <w:szCs w:val="24"/>
            </w:rPr>
            <w:fldChar w:fldCharType="separate"/>
          </w:r>
          <w:hyperlink w:anchor="_Toc9844806" w:history="1">
            <w:r w:rsidR="005D53F2" w:rsidRPr="005D53F2">
              <w:rPr>
                <w:rStyle w:val="Hipervnculo"/>
                <w:rFonts w:eastAsia="Times New Roman"/>
                <w:sz w:val="24"/>
                <w:szCs w:val="24"/>
              </w:rPr>
              <w:t>I.</w:t>
            </w:r>
            <w:r w:rsidR="005D53F2" w:rsidRPr="005D53F2">
              <w:rPr>
                <w:rFonts w:asciiTheme="minorHAnsi" w:eastAsiaTheme="minorEastAsia" w:hAnsiTheme="minorHAnsi"/>
                <w:b w:val="0"/>
                <w:sz w:val="24"/>
                <w:szCs w:val="24"/>
                <w:lang w:eastAsia="es-MX"/>
              </w:rPr>
              <w:tab/>
            </w:r>
            <w:r w:rsidR="005D53F2" w:rsidRPr="005D53F2">
              <w:rPr>
                <w:rStyle w:val="Hipervnculo"/>
                <w:rFonts w:eastAsia="Times New Roman"/>
                <w:sz w:val="24"/>
                <w:szCs w:val="24"/>
              </w:rPr>
              <w:t>Consideraciones Generales</w:t>
            </w:r>
            <w:r w:rsidR="005D53F2" w:rsidRPr="005D53F2">
              <w:rPr>
                <w:webHidden/>
                <w:sz w:val="24"/>
                <w:szCs w:val="24"/>
              </w:rPr>
              <w:tab/>
            </w:r>
            <w:r w:rsidR="005D53F2" w:rsidRPr="005D53F2">
              <w:rPr>
                <w:webHidden/>
                <w:sz w:val="24"/>
                <w:szCs w:val="24"/>
              </w:rPr>
              <w:fldChar w:fldCharType="begin"/>
            </w:r>
            <w:r w:rsidR="005D53F2" w:rsidRPr="005D53F2">
              <w:rPr>
                <w:webHidden/>
                <w:sz w:val="24"/>
                <w:szCs w:val="24"/>
              </w:rPr>
              <w:instrText xml:space="preserve"> PAGEREF _Toc9844806 \h </w:instrText>
            </w:r>
            <w:r w:rsidR="005D53F2" w:rsidRPr="005D53F2">
              <w:rPr>
                <w:webHidden/>
                <w:sz w:val="24"/>
                <w:szCs w:val="24"/>
              </w:rPr>
            </w:r>
            <w:r w:rsidR="005D53F2" w:rsidRPr="005D53F2">
              <w:rPr>
                <w:webHidden/>
                <w:sz w:val="24"/>
                <w:szCs w:val="24"/>
              </w:rPr>
              <w:fldChar w:fldCharType="separate"/>
            </w:r>
            <w:r w:rsidR="005D53F2" w:rsidRPr="005D53F2">
              <w:rPr>
                <w:webHidden/>
                <w:sz w:val="24"/>
                <w:szCs w:val="24"/>
              </w:rPr>
              <w:t>1</w:t>
            </w:r>
            <w:r w:rsidR="005D53F2" w:rsidRPr="005D53F2">
              <w:rPr>
                <w:webHidden/>
                <w:sz w:val="24"/>
                <w:szCs w:val="24"/>
              </w:rPr>
              <w:fldChar w:fldCharType="end"/>
            </w:r>
          </w:hyperlink>
        </w:p>
        <w:p w:rsidR="005D53F2" w:rsidRPr="005D53F2" w:rsidRDefault="00CC049F">
          <w:pPr>
            <w:pStyle w:val="TDC1"/>
            <w:rPr>
              <w:rFonts w:asciiTheme="minorHAnsi" w:eastAsiaTheme="minorEastAsia" w:hAnsiTheme="minorHAnsi"/>
              <w:b w:val="0"/>
              <w:sz w:val="24"/>
              <w:szCs w:val="24"/>
              <w:lang w:eastAsia="es-MX"/>
            </w:rPr>
          </w:pPr>
          <w:hyperlink w:anchor="_Toc9844807" w:history="1">
            <w:r w:rsidR="005D53F2" w:rsidRPr="005D53F2">
              <w:rPr>
                <w:rStyle w:val="Hipervnculo"/>
                <w:rFonts w:eastAsia="Calibri"/>
                <w:sz w:val="24"/>
                <w:szCs w:val="24"/>
                <w:lang w:val="es-ES"/>
              </w:rPr>
              <w:t>II.</w:t>
            </w:r>
            <w:r w:rsidR="005D53F2" w:rsidRPr="005D53F2">
              <w:rPr>
                <w:rFonts w:asciiTheme="minorHAnsi" w:eastAsiaTheme="minorEastAsia" w:hAnsiTheme="minorHAnsi"/>
                <w:b w:val="0"/>
                <w:sz w:val="24"/>
                <w:szCs w:val="24"/>
                <w:lang w:eastAsia="es-MX"/>
              </w:rPr>
              <w:tab/>
            </w:r>
            <w:r w:rsidR="005D53F2" w:rsidRPr="005D53F2">
              <w:rPr>
                <w:rStyle w:val="Hipervnculo"/>
                <w:rFonts w:eastAsia="Calibri"/>
                <w:sz w:val="24"/>
                <w:szCs w:val="24"/>
                <w:lang w:val="es-ES"/>
              </w:rPr>
              <w:t>De los requerimientos planteados en el recurso de revisión.</w:t>
            </w:r>
            <w:r w:rsidR="005D53F2" w:rsidRPr="005D53F2">
              <w:rPr>
                <w:webHidden/>
                <w:sz w:val="24"/>
                <w:szCs w:val="24"/>
              </w:rPr>
              <w:tab/>
            </w:r>
            <w:r w:rsidR="005D53F2" w:rsidRPr="005D53F2">
              <w:rPr>
                <w:webHidden/>
                <w:sz w:val="24"/>
                <w:szCs w:val="24"/>
              </w:rPr>
              <w:fldChar w:fldCharType="begin"/>
            </w:r>
            <w:r w:rsidR="005D53F2" w:rsidRPr="005D53F2">
              <w:rPr>
                <w:webHidden/>
                <w:sz w:val="24"/>
                <w:szCs w:val="24"/>
              </w:rPr>
              <w:instrText xml:space="preserve"> PAGEREF _Toc9844807 \h </w:instrText>
            </w:r>
            <w:r w:rsidR="005D53F2" w:rsidRPr="005D53F2">
              <w:rPr>
                <w:webHidden/>
                <w:sz w:val="24"/>
                <w:szCs w:val="24"/>
              </w:rPr>
            </w:r>
            <w:r w:rsidR="005D53F2" w:rsidRPr="005D53F2">
              <w:rPr>
                <w:webHidden/>
                <w:sz w:val="24"/>
                <w:szCs w:val="24"/>
              </w:rPr>
              <w:fldChar w:fldCharType="separate"/>
            </w:r>
            <w:r w:rsidR="005D53F2" w:rsidRPr="005D53F2">
              <w:rPr>
                <w:webHidden/>
                <w:sz w:val="24"/>
                <w:szCs w:val="24"/>
              </w:rPr>
              <w:t>2</w:t>
            </w:r>
            <w:r w:rsidR="005D53F2" w:rsidRPr="005D53F2">
              <w:rPr>
                <w:webHidden/>
                <w:sz w:val="24"/>
                <w:szCs w:val="24"/>
              </w:rPr>
              <w:fldChar w:fldCharType="end"/>
            </w:r>
          </w:hyperlink>
        </w:p>
        <w:p w:rsidR="005D53F2" w:rsidRPr="005D53F2" w:rsidRDefault="00CC049F">
          <w:pPr>
            <w:pStyle w:val="TDC2"/>
            <w:rPr>
              <w:rFonts w:asciiTheme="minorHAnsi" w:eastAsiaTheme="minorEastAsia" w:hAnsiTheme="minorHAnsi"/>
              <w:b w:val="0"/>
              <w:lang w:eastAsia="es-MX"/>
            </w:rPr>
          </w:pPr>
          <w:hyperlink w:anchor="_Toc9844808" w:history="1">
            <w:r w:rsidR="005D53F2" w:rsidRPr="005D53F2">
              <w:rPr>
                <w:rStyle w:val="Hipervnculo"/>
              </w:rPr>
              <w:t>III. Del Derecho de Acceso a la información pública y el deber de motivar.</w:t>
            </w:r>
            <w:r w:rsidR="005D53F2" w:rsidRPr="005D53F2">
              <w:rPr>
                <w:webHidden/>
              </w:rPr>
              <w:tab/>
            </w:r>
            <w:r w:rsidR="005D53F2" w:rsidRPr="005D53F2">
              <w:rPr>
                <w:webHidden/>
              </w:rPr>
              <w:fldChar w:fldCharType="begin"/>
            </w:r>
            <w:r w:rsidR="005D53F2" w:rsidRPr="005D53F2">
              <w:rPr>
                <w:webHidden/>
              </w:rPr>
              <w:instrText xml:space="preserve"> PAGEREF _Toc9844808 \h </w:instrText>
            </w:r>
            <w:r w:rsidR="005D53F2" w:rsidRPr="005D53F2">
              <w:rPr>
                <w:webHidden/>
              </w:rPr>
            </w:r>
            <w:r w:rsidR="005D53F2" w:rsidRPr="005D53F2">
              <w:rPr>
                <w:webHidden/>
              </w:rPr>
              <w:fldChar w:fldCharType="separate"/>
            </w:r>
            <w:r w:rsidR="005D53F2" w:rsidRPr="005D53F2">
              <w:rPr>
                <w:webHidden/>
              </w:rPr>
              <w:t>6</w:t>
            </w:r>
            <w:r w:rsidR="005D53F2" w:rsidRPr="005D53F2">
              <w:rPr>
                <w:webHidden/>
              </w:rPr>
              <w:fldChar w:fldCharType="end"/>
            </w:r>
          </w:hyperlink>
        </w:p>
        <w:p w:rsidR="005D53F2" w:rsidRPr="005D53F2" w:rsidRDefault="00CC049F">
          <w:pPr>
            <w:pStyle w:val="TDC1"/>
            <w:rPr>
              <w:rFonts w:asciiTheme="minorHAnsi" w:eastAsiaTheme="minorEastAsia" w:hAnsiTheme="minorHAnsi"/>
              <w:b w:val="0"/>
              <w:sz w:val="24"/>
              <w:szCs w:val="24"/>
              <w:lang w:eastAsia="es-MX"/>
            </w:rPr>
          </w:pPr>
          <w:hyperlink w:anchor="_Toc9844809" w:history="1">
            <w:r w:rsidR="005D53F2" w:rsidRPr="005D53F2">
              <w:rPr>
                <w:rStyle w:val="Hipervnculo"/>
                <w:rFonts w:eastAsia="Calibri"/>
                <w:sz w:val="24"/>
                <w:szCs w:val="24"/>
              </w:rPr>
              <w:t>IV. Del Pronunciamiento simple</w:t>
            </w:r>
            <w:r w:rsidR="005D53F2" w:rsidRPr="005D53F2">
              <w:rPr>
                <w:webHidden/>
                <w:sz w:val="24"/>
                <w:szCs w:val="24"/>
              </w:rPr>
              <w:tab/>
            </w:r>
            <w:r w:rsidR="005D53F2" w:rsidRPr="005D53F2">
              <w:rPr>
                <w:webHidden/>
                <w:sz w:val="24"/>
                <w:szCs w:val="24"/>
              </w:rPr>
              <w:fldChar w:fldCharType="begin"/>
            </w:r>
            <w:r w:rsidR="005D53F2" w:rsidRPr="005D53F2">
              <w:rPr>
                <w:webHidden/>
                <w:sz w:val="24"/>
                <w:szCs w:val="24"/>
              </w:rPr>
              <w:instrText xml:space="preserve"> PAGEREF _Toc9844809 \h </w:instrText>
            </w:r>
            <w:r w:rsidR="005D53F2" w:rsidRPr="005D53F2">
              <w:rPr>
                <w:webHidden/>
                <w:sz w:val="24"/>
                <w:szCs w:val="24"/>
              </w:rPr>
            </w:r>
            <w:r w:rsidR="005D53F2" w:rsidRPr="005D53F2">
              <w:rPr>
                <w:webHidden/>
                <w:sz w:val="24"/>
                <w:szCs w:val="24"/>
              </w:rPr>
              <w:fldChar w:fldCharType="separate"/>
            </w:r>
            <w:r w:rsidR="005D53F2" w:rsidRPr="005D53F2">
              <w:rPr>
                <w:webHidden/>
                <w:sz w:val="24"/>
                <w:szCs w:val="24"/>
              </w:rPr>
              <w:t>11</w:t>
            </w:r>
            <w:r w:rsidR="005D53F2" w:rsidRPr="005D53F2">
              <w:rPr>
                <w:webHidden/>
                <w:sz w:val="24"/>
                <w:szCs w:val="24"/>
              </w:rPr>
              <w:fldChar w:fldCharType="end"/>
            </w:r>
          </w:hyperlink>
        </w:p>
        <w:p w:rsidR="005D53F2" w:rsidRPr="005D53F2" w:rsidRDefault="00CC049F">
          <w:pPr>
            <w:pStyle w:val="TDC1"/>
            <w:rPr>
              <w:rFonts w:asciiTheme="minorHAnsi" w:eastAsiaTheme="minorEastAsia" w:hAnsiTheme="minorHAnsi"/>
              <w:b w:val="0"/>
              <w:sz w:val="24"/>
              <w:szCs w:val="24"/>
              <w:lang w:eastAsia="es-MX"/>
            </w:rPr>
          </w:pPr>
          <w:hyperlink w:anchor="_Toc9844810" w:history="1">
            <w:r w:rsidR="005D53F2" w:rsidRPr="005D53F2">
              <w:rPr>
                <w:rStyle w:val="Hipervnculo"/>
                <w:rFonts w:eastAsia="Calibri"/>
                <w:sz w:val="24"/>
                <w:szCs w:val="24"/>
              </w:rPr>
              <w:t>V. Conclusión.</w:t>
            </w:r>
            <w:r w:rsidR="005D53F2" w:rsidRPr="005D53F2">
              <w:rPr>
                <w:webHidden/>
                <w:sz w:val="24"/>
                <w:szCs w:val="24"/>
              </w:rPr>
              <w:tab/>
            </w:r>
            <w:r w:rsidR="005D53F2" w:rsidRPr="005D53F2">
              <w:rPr>
                <w:webHidden/>
                <w:sz w:val="24"/>
                <w:szCs w:val="24"/>
              </w:rPr>
              <w:fldChar w:fldCharType="begin"/>
            </w:r>
            <w:r w:rsidR="005D53F2" w:rsidRPr="005D53F2">
              <w:rPr>
                <w:webHidden/>
                <w:sz w:val="24"/>
                <w:szCs w:val="24"/>
              </w:rPr>
              <w:instrText xml:space="preserve"> PAGEREF _Toc9844810 \h </w:instrText>
            </w:r>
            <w:r w:rsidR="005D53F2" w:rsidRPr="005D53F2">
              <w:rPr>
                <w:webHidden/>
                <w:sz w:val="24"/>
                <w:szCs w:val="24"/>
              </w:rPr>
            </w:r>
            <w:r w:rsidR="005D53F2" w:rsidRPr="005D53F2">
              <w:rPr>
                <w:webHidden/>
                <w:sz w:val="24"/>
                <w:szCs w:val="24"/>
              </w:rPr>
              <w:fldChar w:fldCharType="separate"/>
            </w:r>
            <w:r w:rsidR="005D53F2" w:rsidRPr="005D53F2">
              <w:rPr>
                <w:webHidden/>
                <w:sz w:val="24"/>
                <w:szCs w:val="24"/>
              </w:rPr>
              <w:t>29</w:t>
            </w:r>
            <w:r w:rsidR="005D53F2" w:rsidRPr="005D53F2">
              <w:rPr>
                <w:webHidden/>
                <w:sz w:val="24"/>
                <w:szCs w:val="24"/>
              </w:rPr>
              <w:fldChar w:fldCharType="end"/>
            </w:r>
          </w:hyperlink>
        </w:p>
        <w:p w:rsidR="00E6179D" w:rsidRPr="005D53F2" w:rsidRDefault="00E6179D" w:rsidP="00B73B30">
          <w:pPr>
            <w:spacing w:line="360" w:lineRule="auto"/>
            <w:rPr>
              <w:rFonts w:ascii="Palatino Linotype" w:hAnsi="Palatino Linotype"/>
              <w:b/>
              <w:sz w:val="24"/>
              <w:szCs w:val="24"/>
            </w:rPr>
          </w:pPr>
          <w:r w:rsidRPr="005D53F2">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9844806"/>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Novena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veintidós</w:t>
      </w:r>
      <w:r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22</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7A5D57" w:rsidRPr="007A5D57">
        <w:rPr>
          <w:rFonts w:ascii="Palatino Linotype" w:hAnsi="Palatino Linotype" w:cs="Arial"/>
          <w:b/>
          <w:sz w:val="24"/>
        </w:rPr>
        <w:t xml:space="preserve"> </w:t>
      </w:r>
      <w:r w:rsidR="007A5D57" w:rsidRPr="00DF4D59">
        <w:rPr>
          <w:rFonts w:ascii="Palatino Linotype" w:hAnsi="Palatino Linotype" w:cs="Arial"/>
          <w:b/>
          <w:sz w:val="24"/>
        </w:rPr>
        <w:t>Ayuntamiento de Valle de Bravo,</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7A5D57">
        <w:rPr>
          <w:rFonts w:ascii="Palatino Linotype" w:hAnsi="Palatino Linotype" w:cs="Arial"/>
          <w:b/>
          <w:sz w:val="24"/>
          <w:szCs w:val="24"/>
        </w:rPr>
        <w:t>527</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7A5D57">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9844807"/>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7A5D57" w:rsidRPr="007A5D57">
        <w:rPr>
          <w:rFonts w:ascii="Palatino Linotype" w:hAnsi="Palatino Linotype" w:cs="Arial"/>
          <w:b/>
          <w:sz w:val="24"/>
        </w:rPr>
        <w:t xml:space="preserve"> </w:t>
      </w:r>
      <w:r w:rsidR="007A5D57">
        <w:rPr>
          <w:rFonts w:ascii="Palatino Linotype" w:hAnsi="Palatino Linotype" w:cs="Arial"/>
          <w:b/>
          <w:sz w:val="24"/>
        </w:rPr>
        <w:t xml:space="preserve">el </w:t>
      </w:r>
      <w:r w:rsidR="007A5D57" w:rsidRPr="00DF4D59">
        <w:rPr>
          <w:rFonts w:ascii="Palatino Linotype" w:hAnsi="Palatino Linotype" w:cs="Arial"/>
          <w:b/>
          <w:sz w:val="24"/>
        </w:rPr>
        <w:t>Ayuntamiento de Valle de Bravo</w:t>
      </w:r>
      <w:r w:rsidR="00D86752">
        <w:rPr>
          <w:rFonts w:ascii="Palatino Linotype" w:hAnsi="Palatino Linotype" w:cs="Arial"/>
          <w:b/>
          <w:sz w:val="24"/>
          <w:szCs w:val="24"/>
        </w:rPr>
        <w:t>,</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7A5D57" w:rsidRDefault="007A5D57" w:rsidP="008049C8">
      <w:pPr>
        <w:pStyle w:val="Sinespaciado"/>
        <w:spacing w:line="360" w:lineRule="auto"/>
        <w:ind w:left="567" w:right="567"/>
        <w:jc w:val="both"/>
        <w:rPr>
          <w:rFonts w:ascii="Palatino Linotype" w:eastAsia="Calibri" w:hAnsi="Palatino Linotype" w:cs="Times New Roman"/>
          <w:sz w:val="24"/>
          <w:szCs w:val="24"/>
        </w:rPr>
      </w:pPr>
    </w:p>
    <w:p w:rsidR="007A5D57" w:rsidRPr="00DF4D59" w:rsidRDefault="007A5D57" w:rsidP="007A5D57">
      <w:pPr>
        <w:tabs>
          <w:tab w:val="left" w:pos="851"/>
        </w:tabs>
        <w:spacing w:after="0" w:line="240" w:lineRule="auto"/>
        <w:ind w:left="851" w:right="901"/>
        <w:jc w:val="both"/>
        <w:rPr>
          <w:rFonts w:ascii="Palatino Linotype" w:hAnsi="Palatino Linotype" w:cs="Arial"/>
          <w:i/>
        </w:rPr>
      </w:pPr>
      <w:r w:rsidRPr="00DF4D59">
        <w:rPr>
          <w:rFonts w:ascii="Palatino Linotype" w:hAnsi="Palatino Linotype" w:cs="Arial"/>
          <w:i/>
        </w:rPr>
        <w:t>“Por medio de la presente solicito se me informe referente a que constructora o arquitecto realizó las siguientes obras conjuntamente con el H. Ayuntamiento de Valle de bravo y si fue mediante adjudicación directa o licitación publica con que presupuesto se realizo y quien era el presidente municipal y quien era el director de desarrollo urbano y obra publicas año (2009) 1.- construcción y guarniciones y banquetas en el barrio de Otumba; 2.- construcción de andador en barranca seca, 3.- construcción de plazoleta con teatro al aire libre 4.- construcción multifuncional (2010) 1.- construcción de aula tipo en la comunidad de godinez 2.- construcción de muro de contención los aguacates Valle de Bravo 3.- construcción bardas perimetrales en los pozos en Valle de Bravo (2011-2012) 1.- construcción de plaza bocanegra centro historico 2.- construccion de plaza 5 de febrero centro historico 3.- demolición y construcción con acabado de porfido en vialidades del centro historico de valle de bravo 4.- construcción de plaza los alpes centro historico 5.- guarniciones y banquetas en la avenida juárez 6.- construccion de paraderos todo el municipio asimismo solicito si los trabajadores fueron dados de alta en hacienda y en el instituto mexicano del seguro social esta información la solicito para que se realice una auditoria por parte de hacienda y el instituto mexicano del seguro social a la constructora o arquitecto asi como dar aviso a la legislatura y a glosa de antemano gracias por la información.” (Sic)</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7A5D57">
        <w:rPr>
          <w:rFonts w:ascii="Palatino Linotype" w:eastAsia="Calibri" w:hAnsi="Palatino Linotype" w:cs="Arial"/>
          <w:sz w:val="24"/>
          <w:szCs w:val="24"/>
        </w:rPr>
        <w:t>l</w:t>
      </w:r>
      <w:r w:rsidR="007A5D57" w:rsidRPr="007A5D57">
        <w:rPr>
          <w:rFonts w:ascii="Palatino Linotype" w:hAnsi="Palatino Linotype" w:cs="Arial"/>
          <w:b/>
          <w:sz w:val="24"/>
        </w:rPr>
        <w:t xml:space="preserve"> </w:t>
      </w:r>
      <w:r w:rsidR="007A5D57" w:rsidRPr="00DF4D59">
        <w:rPr>
          <w:rFonts w:ascii="Palatino Linotype" w:hAnsi="Palatino Linotype" w:cs="Arial"/>
          <w:b/>
          <w:sz w:val="24"/>
        </w:rPr>
        <w:t>Ayuntamiento de Valle de Bravo</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w:t>
      </w:r>
      <w:r w:rsidR="00FD1FAD" w:rsidRPr="002B6741">
        <w:rPr>
          <w:rFonts w:ascii="Palatino Linotype" w:eastAsia="Calibri" w:hAnsi="Palatino Linotype" w:cs="Arial"/>
          <w:sz w:val="24"/>
          <w:szCs w:val="24"/>
        </w:rPr>
        <w:lastRenderedPageBreak/>
        <w:t xml:space="preserve">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 xml:space="preserve">al </w:t>
      </w:r>
      <w:r w:rsidR="007A5D57" w:rsidRPr="00DF4D59">
        <w:rPr>
          <w:rFonts w:ascii="Palatino Linotype" w:hAnsi="Palatino Linotype" w:cs="Arial"/>
          <w:b/>
          <w:sz w:val="24"/>
        </w:rPr>
        <w:t>Ayuntamiento de Valle de Bravo</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6A308D" w:rsidRPr="006A308D" w:rsidRDefault="006A308D" w:rsidP="006A308D">
      <w:pPr>
        <w:spacing w:after="0" w:line="276" w:lineRule="auto"/>
        <w:ind w:left="851" w:right="902" w:hanging="142"/>
        <w:contextualSpacing/>
        <w:jc w:val="both"/>
        <w:rPr>
          <w:rFonts w:ascii="Palatino Linotype" w:hAnsi="Palatino Linotype" w:cs="Arial"/>
          <w:i/>
          <w:sz w:val="24"/>
          <w:szCs w:val="24"/>
        </w:rPr>
      </w:pPr>
      <w:r w:rsidRPr="006A308D">
        <w:rPr>
          <w:rFonts w:ascii="Palatino Linotype" w:hAnsi="Palatino Linotype" w:cs="Arial"/>
          <w:i/>
          <w:sz w:val="24"/>
          <w:szCs w:val="24"/>
        </w:rPr>
        <w:t xml:space="preserve">“Los documentos donde conste el nombre del Presidente Municipal, Director de Desarrollo y Director de Obras Públicas o equivalente, la modalidad de adjudicación de la obra, nombre del contratista y origen de los recursos, en la ejecución de las siguientes obras: </w:t>
      </w:r>
    </w:p>
    <w:p w:rsidR="006A308D" w:rsidRPr="006A308D" w:rsidRDefault="006A308D" w:rsidP="006A308D">
      <w:pPr>
        <w:spacing w:after="0" w:line="276" w:lineRule="auto"/>
        <w:jc w:val="both"/>
        <w:rPr>
          <w:rFonts w:ascii="Palatino Linotype" w:hAnsi="Palatino Linotype"/>
          <w:sz w:val="24"/>
          <w:szCs w:val="24"/>
        </w:rPr>
      </w:pPr>
    </w:p>
    <w:p w:rsidR="006A308D" w:rsidRPr="006A308D" w:rsidRDefault="006A308D" w:rsidP="006A308D">
      <w:pPr>
        <w:spacing w:after="0" w:line="276" w:lineRule="auto"/>
        <w:ind w:left="851" w:right="899"/>
        <w:jc w:val="both"/>
        <w:rPr>
          <w:rFonts w:ascii="Palatino Linotype" w:hAnsi="Palatino Linotype"/>
          <w:b/>
          <w:bCs/>
          <w:i/>
          <w:sz w:val="24"/>
          <w:szCs w:val="24"/>
        </w:rPr>
      </w:pPr>
      <w:r w:rsidRPr="006A308D">
        <w:rPr>
          <w:rFonts w:ascii="Palatino Linotype" w:hAnsi="Palatino Linotype"/>
          <w:b/>
          <w:bCs/>
          <w:i/>
          <w:sz w:val="24"/>
          <w:szCs w:val="24"/>
        </w:rPr>
        <w:t>Del periodo comprendido del 29 de enero de 2018 al 29 de enero de 2019</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Construcción de guarniciones y banquetas realizadas en el barrio de Otumba y en la Avenida Juárez,</w:t>
      </w:r>
    </w:p>
    <w:p w:rsidR="006A308D" w:rsidRPr="006A308D" w:rsidRDefault="006A308D" w:rsidP="006A308D">
      <w:pPr>
        <w:spacing w:after="0" w:line="276" w:lineRule="auto"/>
        <w:jc w:val="both"/>
        <w:rPr>
          <w:rFonts w:ascii="Palatino Linotype" w:hAnsi="Palatino Linotype"/>
          <w:sz w:val="24"/>
          <w:szCs w:val="24"/>
        </w:rPr>
      </w:pPr>
    </w:p>
    <w:p w:rsidR="006A308D" w:rsidRPr="006A308D" w:rsidRDefault="006A308D" w:rsidP="006A308D">
      <w:pPr>
        <w:spacing w:after="0" w:line="276" w:lineRule="auto"/>
        <w:ind w:left="851" w:right="899"/>
        <w:jc w:val="both"/>
        <w:rPr>
          <w:rFonts w:ascii="Palatino Linotype" w:hAnsi="Palatino Linotype"/>
          <w:b/>
          <w:bCs/>
          <w:i/>
          <w:sz w:val="24"/>
          <w:szCs w:val="24"/>
        </w:rPr>
      </w:pPr>
      <w:r w:rsidRPr="006A308D">
        <w:rPr>
          <w:rFonts w:ascii="Palatino Linotype" w:hAnsi="Palatino Linotype"/>
          <w:b/>
          <w:bCs/>
          <w:i/>
          <w:sz w:val="24"/>
          <w:szCs w:val="24"/>
        </w:rPr>
        <w:t>De los años 2011 y 2012</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Construcción de bardas perimetrales en los pozos en Valle de Bravo.</w:t>
      </w:r>
    </w:p>
    <w:p w:rsidR="006A308D" w:rsidRPr="006A308D" w:rsidRDefault="006A308D" w:rsidP="006A308D">
      <w:pPr>
        <w:spacing w:after="0" w:line="276" w:lineRule="auto"/>
        <w:jc w:val="both"/>
        <w:rPr>
          <w:rFonts w:ascii="Palatino Linotype" w:hAnsi="Palatino Linotype"/>
          <w:sz w:val="24"/>
          <w:szCs w:val="24"/>
        </w:rPr>
      </w:pPr>
    </w:p>
    <w:p w:rsidR="006A308D" w:rsidRPr="006A308D" w:rsidRDefault="006A308D" w:rsidP="006A308D">
      <w:pPr>
        <w:spacing w:after="0" w:line="276" w:lineRule="auto"/>
        <w:ind w:left="851" w:right="899"/>
        <w:jc w:val="both"/>
        <w:rPr>
          <w:rFonts w:ascii="Palatino Linotype" w:hAnsi="Palatino Linotype"/>
          <w:b/>
          <w:bCs/>
          <w:i/>
          <w:sz w:val="24"/>
          <w:szCs w:val="24"/>
        </w:rPr>
      </w:pPr>
      <w:r w:rsidRPr="006A308D">
        <w:rPr>
          <w:rFonts w:ascii="Palatino Linotype" w:hAnsi="Palatino Linotype"/>
          <w:b/>
          <w:bCs/>
          <w:i/>
          <w:sz w:val="24"/>
          <w:szCs w:val="24"/>
        </w:rPr>
        <w:t>Del periodo comprendido del 01 de enero de 2009 al 29 de enero de 2019</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 xml:space="preserve">Construcción de andador en barranca seca. </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Construcción de plazoleta con Teatro al aire libre.</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lastRenderedPageBreak/>
        <w:t>Construcción de Cancha Deportiva Multifuncional.</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 xml:space="preserve">Construcción de aula tipo en la comunidad de Godínez. </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 xml:space="preserve">Construcción de muro de contención los aguacates Valle de Bravo </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Construcción de Plaza Bocanegra Centro Histórico.</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 xml:space="preserve"> Construcción de plaza 5 de febrero Centro Histórico </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Demolición y construcción con acabado de pórfido en vialidades del Centro Histórico de Valle de Bravo</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 xml:space="preserve">Construcción de Plaza los Alpes Centro Histórico </w:t>
      </w:r>
    </w:p>
    <w:p w:rsidR="006A308D" w:rsidRPr="006A308D" w:rsidRDefault="006A308D" w:rsidP="006A308D">
      <w:pPr>
        <w:pStyle w:val="Prrafodelista"/>
        <w:numPr>
          <w:ilvl w:val="0"/>
          <w:numId w:val="10"/>
        </w:numPr>
        <w:spacing w:after="0" w:line="276" w:lineRule="auto"/>
        <w:ind w:right="899"/>
        <w:jc w:val="both"/>
        <w:rPr>
          <w:rFonts w:ascii="Palatino Linotype" w:hAnsi="Palatino Linotype"/>
          <w:bCs/>
          <w:i/>
          <w:sz w:val="24"/>
          <w:szCs w:val="24"/>
        </w:rPr>
      </w:pPr>
      <w:r w:rsidRPr="006A308D">
        <w:rPr>
          <w:rFonts w:ascii="Palatino Linotype" w:hAnsi="Palatino Linotype"/>
          <w:bCs/>
          <w:i/>
          <w:sz w:val="24"/>
          <w:szCs w:val="24"/>
        </w:rPr>
        <w:t xml:space="preserve">Construcción de paraderos en todo el municipio </w:t>
      </w:r>
    </w:p>
    <w:p w:rsidR="006A308D" w:rsidRPr="006A308D" w:rsidRDefault="006A308D" w:rsidP="006A308D">
      <w:pPr>
        <w:spacing w:after="0" w:line="276" w:lineRule="auto"/>
        <w:ind w:left="851" w:right="902" w:hanging="142"/>
        <w:contextualSpacing/>
        <w:jc w:val="both"/>
        <w:rPr>
          <w:rFonts w:ascii="Palatino Linotype" w:hAnsi="Palatino Linotype" w:cs="Arial"/>
          <w:i/>
          <w:sz w:val="24"/>
          <w:szCs w:val="24"/>
        </w:rPr>
      </w:pPr>
    </w:p>
    <w:p w:rsidR="006A308D" w:rsidRPr="006A308D" w:rsidRDefault="006A308D" w:rsidP="006A308D">
      <w:pPr>
        <w:spacing w:after="0" w:line="276" w:lineRule="auto"/>
        <w:ind w:left="851" w:right="902"/>
        <w:contextualSpacing/>
        <w:jc w:val="both"/>
        <w:rPr>
          <w:rFonts w:ascii="Palatino Linotype" w:hAnsi="Palatino Linotype" w:cs="Arial"/>
          <w:i/>
          <w:sz w:val="24"/>
          <w:szCs w:val="24"/>
        </w:rPr>
      </w:pPr>
      <w:r w:rsidRPr="006A308D">
        <w:rPr>
          <w:rFonts w:ascii="Palatino Linotype" w:hAnsi="Palatino Linotype" w:cs="Arial"/>
          <w:i/>
          <w:sz w:val="24"/>
          <w:szCs w:val="24"/>
          <w:lang w:eastAsia="es-MX"/>
        </w:rPr>
        <w:t>Debiendo</w:t>
      </w:r>
      <w:r w:rsidRPr="006A308D">
        <w:rPr>
          <w:rFonts w:ascii="Palatino Linotype" w:hAnsi="Palatino Linotype" w:cs="Arial"/>
          <w:i/>
          <w:sz w:val="24"/>
          <w:szCs w:val="24"/>
        </w:rPr>
        <w:t xml:space="preserve"> notificar al</w:t>
      </w:r>
      <w:r w:rsidRPr="006A308D">
        <w:rPr>
          <w:rFonts w:ascii="Palatino Linotype" w:hAnsi="Palatino Linotype" w:cs="Arial"/>
          <w:b/>
          <w:i/>
          <w:sz w:val="24"/>
          <w:szCs w:val="24"/>
        </w:rPr>
        <w:t xml:space="preserve"> RECURRENTE</w:t>
      </w:r>
      <w:r w:rsidRPr="006A308D">
        <w:rPr>
          <w:rFonts w:ascii="Palatino Linotype" w:hAnsi="Palatino Linotype" w:cs="Arial"/>
          <w:i/>
          <w:sz w:val="24"/>
          <w:szCs w:val="24"/>
        </w:rPr>
        <w:t xml:space="preserve"> el Acuerdo de Clasificación de la información que emita en su caso el Comité de Transparencia con motivo de la versión pública.</w:t>
      </w:r>
    </w:p>
    <w:p w:rsidR="006A308D" w:rsidRPr="006A308D" w:rsidRDefault="006A308D" w:rsidP="006A308D">
      <w:pPr>
        <w:spacing w:after="0" w:line="276" w:lineRule="auto"/>
        <w:ind w:left="851" w:right="902"/>
        <w:contextualSpacing/>
        <w:jc w:val="both"/>
        <w:rPr>
          <w:rFonts w:ascii="Palatino Linotype" w:hAnsi="Palatino Linotype" w:cs="Arial"/>
          <w:i/>
          <w:sz w:val="24"/>
          <w:szCs w:val="24"/>
        </w:rPr>
      </w:pPr>
      <w:r w:rsidRPr="006A308D">
        <w:rPr>
          <w:rFonts w:ascii="Palatino Linotype" w:hAnsi="Palatino Linotype" w:cs="Arial"/>
          <w:i/>
          <w:sz w:val="24"/>
          <w:szCs w:val="24"/>
        </w:rPr>
        <w:t xml:space="preserve">Para el caso de que alguna de las obras referidas hayan sido ejecutadas pero no se localice la información </w:t>
      </w:r>
      <w:r w:rsidRPr="006A308D">
        <w:rPr>
          <w:rFonts w:ascii="Palatino Linotype" w:hAnsi="Palatino Linotype" w:cs="Arial"/>
          <w:b/>
          <w:i/>
          <w:sz w:val="24"/>
          <w:szCs w:val="24"/>
        </w:rPr>
        <w:t>EL SUJETO OBLIGADO</w:t>
      </w:r>
      <w:r w:rsidRPr="006A308D">
        <w:rPr>
          <w:rFonts w:ascii="Palatino Linotype" w:hAnsi="Palatino Linotype" w:cs="Arial"/>
          <w:i/>
          <w:sz w:val="24"/>
          <w:szCs w:val="24"/>
        </w:rPr>
        <w:t xml:space="preserve"> deberá emitir el Acuerdo de Inexistencia en términos de los artículos 49, fracciones II y XIII, 169 y 170 de la Ley de Transparencia y Acceso a la Información Pública del Estado de México y Municipios; sin embargo, en el caso de que no hayan sido ejecutadas durante el periodo referido bastará con que lo haga del conocimiento al </w:t>
      </w:r>
      <w:r w:rsidRPr="006A308D">
        <w:rPr>
          <w:rFonts w:ascii="Palatino Linotype" w:hAnsi="Palatino Linotype" w:cs="Arial"/>
          <w:b/>
          <w:i/>
          <w:sz w:val="24"/>
          <w:szCs w:val="24"/>
        </w:rPr>
        <w:t>RECURRENTE</w:t>
      </w:r>
      <w:r w:rsidRPr="006A308D">
        <w:rPr>
          <w:rFonts w:ascii="Palatino Linotype" w:hAnsi="Palatino Linotype" w:cs="Arial"/>
          <w:i/>
          <w:sz w:val="24"/>
          <w:szCs w:val="24"/>
        </w:rPr>
        <w:t>”</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P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DC6A75">
        <w:rPr>
          <w:rFonts w:ascii="Palatino Linotype" w:eastAsia="Times New Roman" w:hAnsi="Palatino Linotype" w:cs="Arial"/>
          <w:sz w:val="24"/>
        </w:rPr>
        <w:t>:</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DC6A75" w:rsidRDefault="006A308D" w:rsidP="006A308D">
      <w:pPr>
        <w:pStyle w:val="Prrafodelista"/>
        <w:spacing w:before="240" w:after="240" w:line="360" w:lineRule="auto"/>
        <w:ind w:left="851" w:right="900"/>
        <w:jc w:val="both"/>
        <w:rPr>
          <w:rFonts w:ascii="Palatino Linotype" w:eastAsia="Times New Roman" w:hAnsi="Palatino Linotype" w:cs="Arial"/>
          <w:sz w:val="24"/>
        </w:rPr>
      </w:pPr>
      <w:r>
        <w:rPr>
          <w:rFonts w:ascii="Palatino Linotype" w:hAnsi="Palatino Linotype" w:cs="Arial"/>
          <w:i/>
          <w:sz w:val="24"/>
          <w:szCs w:val="24"/>
        </w:rPr>
        <w:t>E</w:t>
      </w:r>
      <w:r w:rsidRPr="006A308D">
        <w:rPr>
          <w:rFonts w:ascii="Palatino Linotype" w:hAnsi="Palatino Linotype" w:cs="Arial"/>
          <w:i/>
          <w:sz w:val="24"/>
          <w:szCs w:val="24"/>
        </w:rPr>
        <w:t xml:space="preserve">n el caso de que no hayan sido ejecutadas durante el periodo referido bastará con que lo haga del conocimiento al </w:t>
      </w:r>
      <w:r w:rsidRPr="006A308D">
        <w:rPr>
          <w:rFonts w:ascii="Palatino Linotype" w:hAnsi="Palatino Linotype" w:cs="Arial"/>
          <w:b/>
          <w:i/>
          <w:sz w:val="24"/>
          <w:szCs w:val="24"/>
        </w:rPr>
        <w:t>RECURRENTE</w:t>
      </w: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984480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984480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9844810"/>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49F" w:rsidRDefault="00CC049F" w:rsidP="00E82D3D">
      <w:pPr>
        <w:spacing w:after="0" w:line="240" w:lineRule="auto"/>
      </w:pPr>
      <w:r>
        <w:separator/>
      </w:r>
    </w:p>
  </w:endnote>
  <w:endnote w:type="continuationSeparator" w:id="0">
    <w:p w:rsidR="00CC049F" w:rsidRDefault="00CC049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088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0881">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49F" w:rsidRDefault="00CC049F" w:rsidP="00E82D3D">
      <w:pPr>
        <w:spacing w:after="0" w:line="240" w:lineRule="auto"/>
      </w:pPr>
      <w:r>
        <w:separator/>
      </w:r>
    </w:p>
  </w:footnote>
  <w:footnote w:type="continuationSeparator" w:id="0">
    <w:p w:rsidR="00CC049F" w:rsidRDefault="00CC049F"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C049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C049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C049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3"/>
  </w:num>
  <w:num w:numId="6">
    <w:abstractNumId w:val="7"/>
  </w:num>
  <w:num w:numId="7">
    <w:abstractNumId w:val="0"/>
  </w:num>
  <w:num w:numId="8">
    <w:abstractNumId w:val="2"/>
  </w:num>
  <w:num w:numId="9">
    <w:abstractNumId w:val="4"/>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0881"/>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049F"/>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5A47"/>
    <w:rsid w:val="00DB39B5"/>
    <w:rsid w:val="00DB53B7"/>
    <w:rsid w:val="00DC2F22"/>
    <w:rsid w:val="00DC4358"/>
    <w:rsid w:val="00DC6A75"/>
    <w:rsid w:val="00DC792E"/>
    <w:rsid w:val="00DD14BB"/>
    <w:rsid w:val="00DD35DF"/>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E3A7-20F4-467E-95C2-62C0D6C5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5937</Words>
  <Characters>32657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2019-05-08T17:28:00Z</cp:lastPrinted>
  <dcterms:created xsi:type="dcterms:W3CDTF">2019-05-30T17:54:00Z</dcterms:created>
  <dcterms:modified xsi:type="dcterms:W3CDTF">2019-05-30T17:54:00Z</dcterms:modified>
</cp:coreProperties>
</file>